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1"/>
          <w:bCs w:val="1"/>
          <w:color w:val="036287"/>
          <w:sz w:val="36"/>
          <w:szCs w:val="36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color w:val="036287"/>
          <w:sz w:val="36"/>
          <w:szCs w:val="36"/>
          <w:rtl w:val="0"/>
        </w:rPr>
        <w:t xml:space="preserve">DÉCISION D’HOMOLOGATION DE L’ENTREPÔT DE DONNÉES DE SANTÉ [</w:t>
      </w:r>
      <w:r w:rsidDel="00000000" w:rsidR="00000000" w:rsidRPr="00000000">
        <w:rPr>
          <w:rFonts w:ascii="Tahoma" w:cs="Tahoma" w:eastAsia="Tahoma" w:hAnsi="Tahoma"/>
          <w:b w:val="1"/>
          <w:bCs w:val="1"/>
          <w:color w:val="036287"/>
          <w:sz w:val="36"/>
          <w:szCs w:val="36"/>
          <w:highlight w:val="yellow"/>
          <w:rtl w:val="0"/>
        </w:rPr>
        <w:t xml:space="preserve">NOM DE l’ENTREPÔT</w:t>
      </w:r>
      <w:r w:rsidDel="00000000" w:rsidR="00000000" w:rsidRPr="00000000">
        <w:rPr>
          <w:rFonts w:ascii="Tahoma" w:cs="Tahoma" w:eastAsia="Tahoma" w:hAnsi="Tahoma"/>
          <w:b w:val="1"/>
          <w:bCs w:val="1"/>
          <w:color w:val="036287"/>
          <w:sz w:val="36"/>
          <w:szCs w:val="36"/>
          <w:rtl w:val="0"/>
        </w:rPr>
        <w:t xml:space="preserve">]</w:t>
      </w:r>
    </w:p>
    <w:p w:rsidR="00000000" w:rsidDel="00000000" w:rsidP="00000000" w:rsidRDefault="00000000" w:rsidRPr="00000000" w14:paraId="00000002">
      <w:pPr>
        <w:jc w:val="center"/>
        <w:rPr>
          <w:rFonts w:ascii="Tahoma" w:cs="Tahoma" w:eastAsia="Tahoma" w:hAnsi="Tahoma"/>
          <w:color w:val="036287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Rule="auto"/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Fonts w:ascii="Tahoma" w:cs="Tahoma" w:eastAsia="Tahoma" w:hAnsi="Tahoma"/>
          <w:i w:val="1"/>
          <w:iCs w:val="1"/>
          <w:color w:val="555549"/>
          <w:sz w:val="23"/>
          <w:szCs w:val="23"/>
          <w:highlight w:val="yellow"/>
          <w:rtl w:val="0"/>
        </w:rPr>
        <w:t xml:space="preserve">[NOM, Prénom, Fonction]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highlight w:val="yellow"/>
          <w:rtl w:val="0"/>
        </w:rPr>
        <w:t xml:space="preserve">,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 en sa qualité d’autorité d’homologation,</w:t>
      </w:r>
    </w:p>
    <w:p w:rsidR="00000000" w:rsidDel="00000000" w:rsidP="00000000" w:rsidRDefault="00000000" w:rsidRPr="00000000" w14:paraId="00000005">
      <w:pPr>
        <w:spacing w:after="120" w:lineRule="auto"/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Rule="auto"/>
        <w:jc w:val="center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DECIDE</w:t>
      </w:r>
    </w:p>
    <w:p w:rsidR="00000000" w:rsidDel="00000000" w:rsidP="00000000" w:rsidRDefault="00000000" w:rsidRPr="00000000" w14:paraId="00000007">
      <w:pPr>
        <w:spacing w:after="120" w:lineRule="auto"/>
        <w:jc w:val="center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Vu le référentiel de sécurité du SNDS,</w:t>
      </w:r>
    </w:p>
    <w:p w:rsidR="00000000" w:rsidDel="00000000" w:rsidP="00000000" w:rsidRDefault="00000000" w:rsidRPr="00000000" w14:paraId="00000009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Vu la configuration décrite dans le dossier d’homologation, conformément à la délibération de la CNIL n° 2021-118 du 7 octobre 2021 portant adoption d'un référentiel relatif aux traitements de données à caractère personnel mis en œuvre à des fins de création d'entrepôts de données dans le domaine de la santé, et présentée lors de la commission d’homologation du 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highlight w:val="yellow"/>
          <w:rtl w:val="0"/>
        </w:rPr>
        <w:t xml:space="preserve">XX xxxxxxxxx 20XX,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 </w:t>
      </w:r>
    </w:p>
    <w:p w:rsidR="00000000" w:rsidDel="00000000" w:rsidP="00000000" w:rsidRDefault="00000000" w:rsidRPr="00000000" w14:paraId="0000000B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Vu les risques résiduels identifiés et acceptés, reportés dans le compte-rendu de cette même commission,</w:t>
      </w:r>
    </w:p>
    <w:p w:rsidR="00000000" w:rsidDel="00000000" w:rsidP="00000000" w:rsidRDefault="00000000" w:rsidRPr="00000000" w14:paraId="0000000D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que l’entrepôt de données de santé </w:t>
      </w:r>
      <w:r w:rsidDel="00000000" w:rsidR="00000000" w:rsidRPr="00000000">
        <w:rPr>
          <w:rFonts w:ascii="Tahoma" w:cs="Tahoma" w:eastAsia="Tahoma" w:hAnsi="Tahoma"/>
          <w:i w:val="1"/>
          <w:iCs w:val="1"/>
          <w:color w:val="555549"/>
          <w:sz w:val="23"/>
          <w:szCs w:val="23"/>
          <w:highlight w:val="yellow"/>
          <w:rtl w:val="0"/>
        </w:rPr>
        <w:t xml:space="preserve">[Nom de l’entrepôt]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 dont l’autorité d’homologation est responsable est homologué.</w:t>
      </w:r>
    </w:p>
    <w:p w:rsidR="00000000" w:rsidDel="00000000" w:rsidP="00000000" w:rsidRDefault="00000000" w:rsidRPr="00000000" w14:paraId="0000000F">
      <w:pPr>
        <w:jc w:val="both"/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ahoma" w:cs="Tahoma" w:eastAsia="Tahoma" w:hAnsi="Tahoma"/>
          <w:color w:val="55554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La présente décision d'homologation est valable à compter de la date de signature de la présente et pour une durée de 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highlight w:val="yellow"/>
          <w:rtl w:val="0"/>
        </w:rPr>
        <w:t xml:space="preserve">___________,</w:t>
      </w:r>
      <w:r w:rsidDel="00000000" w:rsidR="00000000" w:rsidRPr="00000000">
        <w:rPr>
          <w:rFonts w:ascii="Tahoma" w:cs="Tahoma" w:eastAsia="Tahoma" w:hAnsi="Tahoma"/>
          <w:color w:val="555549"/>
          <w:sz w:val="23"/>
          <w:szCs w:val="23"/>
          <w:rtl w:val="0"/>
        </w:rPr>
        <w:t xml:space="preserve"> sous réserve de l'application du plan d'actions présenté en commission d'homologation.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right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highlight w:val="yellow"/>
          <w:rtl w:val="0"/>
        </w:rPr>
        <w:t xml:space="preserve">Fait à _____________, le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rFonts w:ascii="Tahoma" w:cs="Tahoma" w:eastAsia="Tahoma" w:hAnsi="Tahoma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rFonts w:ascii="Tahoma" w:cs="Tahoma" w:eastAsia="Tahoma" w:hAnsi="Tahoma"/>
        </w:rPr>
      </w:pPr>
      <w:bookmarkStart w:colFirst="0" w:colLast="0" w:name="_heading=h.h87sagbbf59s" w:id="1"/>
      <w:bookmarkEnd w:id="1"/>
      <w:r w:rsidDel="00000000" w:rsidR="00000000" w:rsidRPr="00000000">
        <w:rPr>
          <w:rFonts w:ascii="Tahoma" w:cs="Tahoma" w:eastAsia="Tahoma" w:hAnsi="Tahoma"/>
          <w:highlight w:val="yellow"/>
          <w:rtl w:val="0"/>
        </w:rPr>
        <w:t xml:space="preserve">“Fonction” de “Structure”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397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Tahoma" w:cs="Tahoma" w:eastAsia="Tahoma" w:hAnsi="Tahoma"/>
        <w:color w:val="000000"/>
        <w:sz w:val="16"/>
        <w:szCs w:val="16"/>
      </w:rPr>
    </w:pPr>
    <w:r w:rsidDel="00000000" w:rsidR="00000000" w:rsidRPr="00000000">
      <w:rPr>
        <w:rFonts w:ascii="Tahoma" w:cs="Tahoma" w:eastAsia="Tahoma" w:hAnsi="Tahom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rFonts w:ascii="Tahoma" w:cs="Tahoma" w:eastAsia="Tahoma" w:hAnsi="Tahoma"/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652145</wp:posOffset>
          </wp:positionH>
          <wp:positionV relativeFrom="page">
            <wp:posOffset>314325</wp:posOffset>
          </wp:positionV>
          <wp:extent cx="1762125" cy="638175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28645" l="0" r="0" t="28645"/>
                  <a:stretch>
                    <a:fillRect/>
                  </a:stretch>
                </pic:blipFill>
                <pic:spPr>
                  <a:xfrm>
                    <a:off x="0" y="0"/>
                    <a:ext cx="1762125" cy="6381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6669729</wp:posOffset>
          </wp:positionH>
          <wp:positionV relativeFrom="page">
            <wp:posOffset>9525</wp:posOffset>
          </wp:positionV>
          <wp:extent cx="972329" cy="89130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5319" l="0" r="0" t="-5319"/>
                  <a:stretch>
                    <a:fillRect/>
                  </a:stretch>
                </pic:blipFill>
                <pic:spPr>
                  <a:xfrm rot="16200000">
                    <a:off x="0" y="0"/>
                    <a:ext cx="972329" cy="89130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bCs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xvhh+2UY+CguPAEhtR6dXYhjZQ==">CgMxLjAyCWguMzBqMHpsbDIOaC5oODdzYWdiYmY1OXM4AHIhMTFJTXgtNkluZ0N6OHZCUlN0RW9kZFlXMEN3WFU1MGJ1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